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center"/>
        <w:rPr>
          <w:rFonts w:hint="eastAsia" w:ascii="方正大标宋简体" w:hAnsi="方正大标宋简体" w:eastAsia="方正大标宋简体" w:cs="黑体"/>
          <w:sz w:val="36"/>
          <w:szCs w:val="32"/>
          <w:lang w:eastAsia="zh-CN"/>
        </w:rPr>
      </w:pPr>
      <w:r>
        <w:rPr>
          <w:rFonts w:hint="eastAsia" w:ascii="方正大标宋简体" w:hAnsi="方正大标宋简体" w:eastAsia="方正大标宋简体" w:cs="黑体"/>
          <w:sz w:val="36"/>
          <w:szCs w:val="32"/>
        </w:rPr>
        <w:t>农业农村部办公厅</w:t>
      </w:r>
      <w:r>
        <w:rPr>
          <w:rFonts w:hint="eastAsia" w:ascii="方正大标宋简体" w:hAnsi="方正大标宋简体" w:eastAsia="方正大标宋简体" w:cs="黑体"/>
          <w:sz w:val="36"/>
          <w:szCs w:val="32"/>
          <w:lang w:val="en-US" w:eastAsia="zh-CN"/>
        </w:rPr>
        <w:t xml:space="preserve">  财政部办公厅</w:t>
      </w:r>
      <w:r>
        <w:rPr>
          <w:rFonts w:hint="eastAsia" w:ascii="方正大标宋简体" w:hAnsi="方正大标宋简体" w:eastAsia="方正大标宋简体" w:cs="黑体"/>
          <w:sz w:val="36"/>
          <w:szCs w:val="32"/>
        </w:rPr>
        <w:t>关于进一步</w:t>
      </w:r>
      <w:r>
        <w:rPr>
          <w:rFonts w:hint="eastAsia" w:ascii="方正大标宋简体" w:hAnsi="方正大标宋简体" w:eastAsia="方正大标宋简体" w:cs="黑体"/>
          <w:sz w:val="36"/>
          <w:szCs w:val="32"/>
          <w:lang w:eastAsia="zh-CN"/>
        </w:rPr>
        <w:t>加强农机购置补贴政策监管强化纪律约束的通知</w:t>
      </w:r>
    </w:p>
    <w:p>
      <w:pPr>
        <w:spacing w:line="360" w:lineRule="auto"/>
        <w:ind w:left="0" w:leftChars="0" w:right="0" w:rightChars="0" w:firstLine="0" w:firstLineChars="0"/>
        <w:jc w:val="center"/>
        <w:rPr>
          <w:rFonts w:hint="default" w:ascii="仿宋_GB2312" w:hAnsi="仿宋_GB2312" w:eastAsia="仿宋_GB2312" w:cs="黑体"/>
          <w:sz w:val="32"/>
          <w:szCs w:val="32"/>
          <w:lang w:eastAsia="zh-CN"/>
        </w:rPr>
      </w:pPr>
      <w:r>
        <w:rPr>
          <w:rFonts w:hint="default" w:ascii="仿宋_GB2312" w:hAnsi="仿宋_GB2312" w:eastAsia="仿宋_GB2312" w:cs="黑体"/>
          <w:sz w:val="32"/>
          <w:szCs w:val="32"/>
          <w:lang w:eastAsia="zh-CN"/>
        </w:rPr>
        <w:t>农办机〔2019〕</w:t>
      </w:r>
      <w:r>
        <w:rPr>
          <w:rFonts w:hint="eastAsia" w:ascii="仿宋_GB2312" w:hAnsi="仿宋_GB2312" w:eastAsia="仿宋_GB2312" w:cs="黑体"/>
          <w:sz w:val="32"/>
          <w:szCs w:val="32"/>
          <w:lang w:val="en-US" w:eastAsia="zh-CN"/>
        </w:rPr>
        <w:t>6</w:t>
      </w:r>
      <w:r>
        <w:rPr>
          <w:rFonts w:hint="default" w:ascii="仿宋_GB2312" w:hAnsi="仿宋_GB2312" w:eastAsia="仿宋_GB2312" w:cs="黑体"/>
          <w:sz w:val="32"/>
          <w:szCs w:val="32"/>
          <w:lang w:eastAsia="zh-CN"/>
        </w:rPr>
        <w:t>号</w:t>
      </w:r>
    </w:p>
    <w:p>
      <w:pPr>
        <w:spacing w:line="360" w:lineRule="auto"/>
        <w:ind w:left="0" w:leftChars="0" w:right="0" w:rightChars="0" w:firstLine="0" w:firstLineChars="0"/>
        <w:jc w:val="center"/>
        <w:rPr>
          <w:rFonts w:hint="eastAsia" w:ascii="仿宋_GB2312" w:hAnsi="仿宋_GB2312" w:eastAsia="仿宋_GB2312" w:cs="黑体"/>
          <w:sz w:val="32"/>
          <w:szCs w:val="32"/>
          <w:lang w:eastAsia="zh-CN"/>
        </w:rPr>
      </w:pPr>
    </w:p>
    <w:p>
      <w:pPr>
        <w:snapToGrid w:val="0"/>
        <w:spacing w:line="334" w:lineRule="auto"/>
        <w:ind w:firstLine="648"/>
        <w:rPr>
          <w:rFonts w:hint="eastAsia" w:ascii="仿宋_GB2312" w:hAnsi="宋体" w:eastAsia="仿宋_GB2312"/>
          <w:sz w:val="32"/>
          <w:szCs w:val="32"/>
        </w:rPr>
      </w:pPr>
      <w:r>
        <w:rPr>
          <w:rFonts w:hint="eastAsia" w:ascii="仿宋_GB2312" w:hAnsi="仿宋_GB2312" w:eastAsia="仿宋_GB2312" w:cs="黑体"/>
          <w:sz w:val="32"/>
          <w:szCs w:val="32"/>
        </w:rPr>
        <w:t>各省、自治区、直辖市及计划单列市农业农村</w:t>
      </w:r>
      <w:r>
        <w:rPr>
          <w:rFonts w:hint="eastAsia" w:ascii="仿宋_GB2312" w:hAnsi="仿宋_GB2312" w:eastAsia="仿宋_GB2312" w:cs="黑体"/>
          <w:sz w:val="32"/>
          <w:szCs w:val="32"/>
          <w:lang w:eastAsia="zh-CN"/>
        </w:rPr>
        <w:t>（农牧）</w:t>
      </w:r>
      <w:r>
        <w:rPr>
          <w:rFonts w:hint="eastAsia" w:ascii="仿宋_GB2312" w:hAnsi="仿宋_GB2312" w:eastAsia="仿宋_GB2312" w:cs="黑体"/>
          <w:sz w:val="32"/>
          <w:szCs w:val="32"/>
        </w:rPr>
        <w:t>厅（委、局）</w:t>
      </w:r>
      <w:r>
        <w:rPr>
          <w:rFonts w:hint="eastAsia" w:ascii="仿宋_GB2312" w:hAnsi="仿宋_GB2312" w:eastAsia="仿宋_GB2312" w:cs="黑体"/>
          <w:sz w:val="32"/>
          <w:szCs w:val="32"/>
          <w:lang w:eastAsia="zh-CN"/>
        </w:rPr>
        <w:t>、财政厅（局）</w:t>
      </w:r>
      <w:r>
        <w:rPr>
          <w:rFonts w:hint="eastAsia" w:ascii="仿宋_GB2312" w:hAnsi="仿宋_GB2312" w:eastAsia="仿宋_GB2312" w:cs="黑体"/>
          <w:sz w:val="32"/>
          <w:szCs w:val="32"/>
        </w:rPr>
        <w:t>，新疆生产建设兵农业农村局</w:t>
      </w:r>
      <w:r>
        <w:rPr>
          <w:rFonts w:hint="eastAsia" w:ascii="仿宋_GB2312" w:hAnsi="仿宋_GB2312" w:eastAsia="仿宋_GB2312" w:cs="黑体"/>
          <w:sz w:val="32"/>
          <w:szCs w:val="32"/>
          <w:lang w:eastAsia="zh-CN"/>
        </w:rPr>
        <w:t>、财政局</w:t>
      </w:r>
      <w:r>
        <w:rPr>
          <w:rFonts w:hint="eastAsia" w:ascii="仿宋_GB2312" w:hAnsi="仿宋_GB2312" w:eastAsia="仿宋_GB2312" w:cs="黑体"/>
          <w:sz w:val="32"/>
          <w:szCs w:val="32"/>
        </w:rPr>
        <w:t>，黑龙江省农垦总局、广东省农垦总局，农业农村部农业机械试验鉴定总站、农业农村部农业机械化技术开发推广总站：</w:t>
      </w:r>
    </w:p>
    <w:p>
      <w:pPr>
        <w:snapToGrid w:val="0"/>
        <w:spacing w:line="334" w:lineRule="auto"/>
        <w:ind w:firstLine="648"/>
        <w:rPr>
          <w:rFonts w:hint="eastAsia" w:ascii="仿宋_GB2312" w:hAnsi="宋体" w:eastAsia="仿宋_GB2312"/>
          <w:color w:val="000000"/>
          <w:sz w:val="32"/>
          <w:szCs w:val="32"/>
        </w:rPr>
      </w:pPr>
      <w:r>
        <w:rPr>
          <w:rFonts w:hint="eastAsia" w:ascii="仿宋_GB2312" w:hAnsi="宋体" w:eastAsia="仿宋_GB2312"/>
          <w:color w:val="000000"/>
          <w:sz w:val="32"/>
          <w:szCs w:val="32"/>
        </w:rPr>
        <w:t>为深入贯彻落实《国务院关于加快推进农业机械化和农机装备产业转型升级的指导意见》（国发〔2018〕42号）和国务院深化“放管服”改革精神，进一步规范中央财政农机购置补贴政策实施工作，优化服务，强化监管，推进《2018—2020年农机购置补贴实施指导意见》各项规定有效落实，最大限度发挥政策效益，现就有关工作通知如下。</w:t>
      </w:r>
    </w:p>
    <w:p>
      <w:pPr>
        <w:snapToGrid w:val="0"/>
        <w:spacing w:line="334"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黑体" w:hAnsi="黑体" w:eastAsia="黑体"/>
          <w:color w:val="000000"/>
          <w:sz w:val="32"/>
          <w:szCs w:val="32"/>
        </w:rPr>
        <w:t>一、加强纪律规矩约束</w:t>
      </w:r>
    </w:p>
    <w:p>
      <w:pPr>
        <w:snapToGrid w:val="0"/>
        <w:spacing w:line="334" w:lineRule="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楷体_GB2312" w:hAnsi="宋体" w:eastAsia="楷体_GB2312"/>
          <w:b/>
          <w:color w:val="000000"/>
          <w:sz w:val="32"/>
          <w:szCs w:val="32"/>
        </w:rPr>
        <w:t>（一）落实政策实施风险防控责任。</w:t>
      </w:r>
      <w:r>
        <w:rPr>
          <w:rFonts w:hint="eastAsia" w:ascii="仿宋_GB2312" w:hAnsi="宋体" w:eastAsia="仿宋_GB2312"/>
          <w:color w:val="000000"/>
          <w:sz w:val="32"/>
          <w:szCs w:val="32"/>
        </w:rPr>
        <w:t>切实加强政策实施管理工作的领导，建立健全政府领导下的农机化、财政部门联合监管机制，落实省级及以下农机化、财政等相关部门指导监督责任。加强县级农机购置补贴领导小组建设，完善规章制度，进一步明确职责分工，深入落实领导小组的政策实施领导责任、县级及以下农机化主管部门组织实施责任和财政部门资金兑付与监管责任。强化对各级农机化和财政部门及其所属事业单位参与农机购置补贴关键重点工作人员的廉政教育和业务培训，提升政策实施和风险防控能力，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w:t>
      </w:r>
    </w:p>
    <w:p>
      <w:pPr>
        <w:snapToGrid w:val="0"/>
        <w:spacing w:line="334" w:lineRule="auto"/>
        <w:rPr>
          <w:rFonts w:hint="eastAsia" w:ascii="仿宋_GB2312" w:hAnsi="宋体" w:eastAsia="仿宋_GB2312"/>
          <w:color w:val="000000"/>
          <w:sz w:val="32"/>
          <w:szCs w:val="32"/>
        </w:rPr>
      </w:pPr>
      <w:r>
        <w:rPr>
          <w:rFonts w:hint="eastAsia" w:ascii="宋体" w:hAnsi="宋体"/>
          <w:color w:val="000000"/>
          <w:sz w:val="32"/>
          <w:szCs w:val="32"/>
        </w:rPr>
        <w:t xml:space="preserve">    </w:t>
      </w:r>
      <w:r>
        <w:rPr>
          <w:rFonts w:hint="eastAsia" w:ascii="楷体_GB2312" w:hAnsi="宋体" w:eastAsia="楷体_GB2312"/>
          <w:b/>
          <w:color w:val="000000"/>
          <w:sz w:val="32"/>
          <w:szCs w:val="32"/>
        </w:rPr>
        <w:t>（二）强化农机生产企业规范参与补贴政策实施承诺制。</w:t>
      </w:r>
      <w:r>
        <w:rPr>
          <w:rFonts w:hint="eastAsia" w:ascii="仿宋_GB2312" w:hAnsi="宋体" w:eastAsia="仿宋_GB2312"/>
          <w:color w:val="000000"/>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省级农机化主管部门报告。各地农机化主管部门要加强对农机生产企业承诺、践诺执行情况的监管和失信违规行为的调查处理，维护良好的补贴机具产销秩序。</w:t>
      </w:r>
    </w:p>
    <w:p>
      <w:pPr>
        <w:snapToGrid w:val="0"/>
        <w:spacing w:line="334" w:lineRule="auto"/>
        <w:rPr>
          <w:rFonts w:hint="eastAsia" w:ascii="仿宋_GB2312" w:hAnsi="宋体" w:eastAsia="仿宋_GB2312"/>
          <w:color w:val="000000"/>
          <w:sz w:val="32"/>
          <w:szCs w:val="32"/>
        </w:rPr>
      </w:pPr>
      <w:r>
        <w:rPr>
          <w:rFonts w:hint="eastAsia" w:ascii="宋体" w:hAnsi="宋体"/>
          <w:color w:val="000000"/>
          <w:sz w:val="32"/>
          <w:szCs w:val="32"/>
        </w:rPr>
        <w:t xml:space="preserve">    </w:t>
      </w:r>
      <w:r>
        <w:rPr>
          <w:rFonts w:hint="eastAsia" w:ascii="楷体_GB2312" w:hAnsi="宋体" w:eastAsia="楷体_GB2312"/>
          <w:b/>
          <w:color w:val="000000"/>
          <w:sz w:val="32"/>
          <w:szCs w:val="32"/>
        </w:rPr>
        <w:t>（三）全程全面公开信息。</w:t>
      </w:r>
      <w:r>
        <w:rPr>
          <w:rFonts w:hint="eastAsia" w:ascii="仿宋_GB2312" w:hAnsi="宋体" w:eastAsia="仿宋_GB2312"/>
          <w:color w:val="000000"/>
          <w:sz w:val="32"/>
          <w:szCs w:val="32"/>
        </w:rPr>
        <w:t>进一步完善县级农机购置补贴信息公开专栏建设，全面及时公开近三年县域内补贴受益对象、资金兑付情况、农机化和财政部门的咨询投诉举报电话、补贴资金规模、使用进度等各类信息，并按规定与省级及以上农业农村主管部门主办或指定的网站实现链接，全面接受社会监督。因地制宜、综合运用宣传挂图、报纸杂志、广播电视、互联网等方式，以及村务公开和“益农信息社”等渠道，全方位开展补贴政策与实施工作宣传，切实保障广大农民群众的知情权、监督权。</w:t>
      </w:r>
    </w:p>
    <w:p>
      <w:pPr>
        <w:snapToGrid w:val="0"/>
        <w:spacing w:line="334" w:lineRule="auto"/>
        <w:rPr>
          <w:rFonts w:hint="eastAsia" w:ascii="黑体" w:hAnsi="黑体" w:eastAsia="黑体"/>
          <w:color w:val="000000"/>
          <w:sz w:val="32"/>
          <w:szCs w:val="32"/>
        </w:rPr>
      </w:pPr>
      <w:r>
        <w:rPr>
          <w:rFonts w:hint="eastAsia" w:ascii="楷体_GB2312" w:hAnsi="宋体" w:eastAsia="楷体_GB2312"/>
          <w:b/>
          <w:color w:val="000000"/>
          <w:sz w:val="32"/>
          <w:szCs w:val="32"/>
        </w:rPr>
        <w:t xml:space="preserve">    </w:t>
      </w:r>
      <w:r>
        <w:rPr>
          <w:rFonts w:hint="eastAsia" w:ascii="黑体" w:hAnsi="黑体" w:eastAsia="黑体"/>
          <w:color w:val="000000"/>
          <w:sz w:val="32"/>
          <w:szCs w:val="32"/>
        </w:rPr>
        <w:t>二、严查严处违规行为</w:t>
      </w:r>
    </w:p>
    <w:p>
      <w:pPr>
        <w:snapToGrid w:val="0"/>
        <w:spacing w:line="334" w:lineRule="auto"/>
        <w:rPr>
          <w:rFonts w:hint="eastAsia" w:ascii="仿宋_GB2312" w:hAnsi="宋体" w:eastAsia="仿宋_GB2312"/>
          <w:color w:val="000000"/>
          <w:sz w:val="32"/>
          <w:szCs w:val="32"/>
        </w:rPr>
      </w:pPr>
      <w:r>
        <w:rPr>
          <w:rFonts w:hint="eastAsia" w:ascii="宋体" w:hAnsi="宋体"/>
          <w:color w:val="000000"/>
          <w:sz w:val="32"/>
          <w:szCs w:val="32"/>
        </w:rPr>
        <w:t xml:space="preserve">    </w:t>
      </w:r>
      <w:r>
        <w:rPr>
          <w:rFonts w:hint="eastAsia" w:ascii="楷体_GB2312" w:hAnsi="宋体" w:eastAsia="楷体_GB2312"/>
          <w:b/>
          <w:color w:val="000000"/>
          <w:sz w:val="32"/>
          <w:szCs w:val="32"/>
        </w:rPr>
        <w:t>（四）从严整治突出违规问题。</w:t>
      </w:r>
      <w:r>
        <w:rPr>
          <w:rFonts w:hint="eastAsia" w:ascii="仿宋_GB2312" w:hAnsi="宋体" w:eastAsia="仿宋_GB2312"/>
          <w:color w:val="000000"/>
          <w:sz w:val="32"/>
          <w:szCs w:val="32"/>
        </w:rPr>
        <w:t>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加强省际联动处理，对在一个省份发生较重、严重违规行为或被采取暂停全部产品补贴资格及以上处理措施的农机产销企业，其他各省份应及时联动，直接采信有关处理决定，对生产企业和涉及的经销企业作出同等处理，并结合实际进一步深入调查处理。对参与较重及以上违规行为的购机者，给予3年内不得享受农机购置补贴的处理；对违规产销企业及其法定代表人、主要从业人员等违规人员，按规定列入黑名单。建立省际补贴机具信息联查机制，探索利用大数据技术进行对比分析，在全国范围内排查可疑线索，支持和指导各地做好违规行为查处工作。</w:t>
      </w:r>
    </w:p>
    <w:p>
      <w:pPr>
        <w:snapToGrid w:val="0"/>
        <w:spacing w:line="334" w:lineRule="auto"/>
        <w:rPr>
          <w:rFonts w:hint="eastAsia" w:ascii="宋体" w:hAnsi="宋体"/>
          <w:color w:val="000000"/>
          <w:sz w:val="32"/>
          <w:szCs w:val="32"/>
        </w:rPr>
      </w:pPr>
      <w:r>
        <w:rPr>
          <w:rFonts w:hint="eastAsia" w:ascii="楷体_GB2312" w:hAnsi="宋体" w:eastAsia="楷体_GB2312"/>
          <w:b/>
          <w:color w:val="000000"/>
          <w:sz w:val="32"/>
          <w:szCs w:val="32"/>
        </w:rPr>
        <w:t xml:space="preserve">    （五）强化联合查处。</w:t>
      </w:r>
      <w:r>
        <w:rPr>
          <w:rFonts w:hint="eastAsia" w:ascii="仿宋_GB2312" w:hAnsi="宋体" w:eastAsia="仿宋_GB2312"/>
          <w:color w:val="000000"/>
          <w:sz w:val="32"/>
          <w:szCs w:val="32"/>
        </w:rPr>
        <w:t xml:space="preserve">加强县级农机化、财政部门对违规行为的联合调查处理工作，对涉嫌较重或严重的违规行为，及时报请县级农机购置补贴领导小组或上级主管部门给予处理，必要时省级农机化、财政部门应及时采取措施，直接组织调查。在调查处理违规行为过程中，发现有干部涉嫌违纪违法的，要及时报告纪检监察机关；发现有农机产销企业、购机者涉嫌犯罪的，依法移送司法机关处理；发现有农机产销企业违规的，由省级农机化主管部门组织提出退缴资金的建议，省级财政部门按照相关规定作出决定，责令违规企业退缴资金，并处以罚款。对拒不履行资金处理决定的违规企业，由财政部门申请人民法院强制执行。 </w:t>
      </w:r>
    </w:p>
    <w:p>
      <w:pPr>
        <w:adjustRightInd w:val="0"/>
        <w:snapToGrid w:val="0"/>
        <w:spacing w:line="334" w:lineRule="auto"/>
        <w:ind w:firstLine="636"/>
        <w:rPr>
          <w:rFonts w:hint="eastAsia" w:ascii="宋体" w:hAnsi="宋体"/>
          <w:color w:val="000000"/>
          <w:sz w:val="32"/>
          <w:szCs w:val="32"/>
        </w:rPr>
      </w:pPr>
      <w:r>
        <w:rPr>
          <w:rFonts w:hint="eastAsia" w:ascii="黑体" w:hAnsi="黑体" w:eastAsia="黑体"/>
          <w:color w:val="000000"/>
          <w:sz w:val="32"/>
          <w:szCs w:val="32"/>
        </w:rPr>
        <w:t>三、改进补贴资金申领与使用管理</w:t>
      </w:r>
    </w:p>
    <w:p>
      <w:pPr>
        <w:snapToGrid w:val="0"/>
        <w:spacing w:line="334" w:lineRule="auto"/>
        <w:rPr>
          <w:rFonts w:hint="eastAsia" w:ascii="仿宋_GB2312" w:hAnsi="宋体" w:eastAsia="仿宋_GB2312"/>
          <w:color w:val="000000"/>
          <w:sz w:val="32"/>
          <w:szCs w:val="32"/>
        </w:rPr>
      </w:pPr>
      <w:r>
        <w:rPr>
          <w:rFonts w:hint="eastAsia" w:ascii="楷体_GB2312" w:hAnsi="宋体" w:eastAsia="楷体_GB2312"/>
          <w:b/>
          <w:color w:val="000000"/>
          <w:sz w:val="32"/>
          <w:szCs w:val="32"/>
        </w:rPr>
        <w:t xml:space="preserve">    （六）强化补贴资金调度和调剂。</w:t>
      </w:r>
      <w:r>
        <w:rPr>
          <w:rFonts w:hint="eastAsia" w:ascii="仿宋_GB2312" w:hAnsi="宋体" w:eastAsia="仿宋_GB2312"/>
          <w:color w:val="000000"/>
          <w:sz w:val="32"/>
          <w:szCs w:val="32"/>
        </w:rPr>
        <w:t>加强省域内各县（市）资金执行情况的分析，督促预算执行进度较慢地区加快使用，在下半年组织开展县（市）际余缺调剂，指导县（市）优先使用结转资金，促进资金使用实现两年动态紧平衡。各省两年内未用完的结转资金应足额上缴中央财政。严格资金分配管理，切实按因素法科学测算和下达补贴资金，不突破县级需求上限分配补贴资金，将资金结转情况和违规行为发生情况作为重要分配因素，调减较大规模结转地区和违规行为影响恶劣地区的预算规模，切实提高资金使用效益。</w:t>
      </w:r>
    </w:p>
    <w:p>
      <w:pPr>
        <w:snapToGrid w:val="0"/>
        <w:spacing w:line="334" w:lineRule="auto"/>
        <w:ind w:firstLine="710" w:firstLineChars="221"/>
        <w:rPr>
          <w:rFonts w:hint="eastAsia" w:ascii="仿宋_GB2312" w:hAnsi="宋体" w:eastAsia="仿宋_GB2312"/>
          <w:color w:val="000000"/>
          <w:sz w:val="32"/>
          <w:szCs w:val="32"/>
        </w:rPr>
      </w:pPr>
      <w:r>
        <w:rPr>
          <w:rFonts w:hint="eastAsia" w:ascii="楷体_GB2312" w:hAnsi="宋体" w:eastAsia="楷体_GB2312"/>
          <w:b/>
          <w:color w:val="000000"/>
          <w:sz w:val="32"/>
          <w:szCs w:val="32"/>
        </w:rPr>
        <w:t>（七）便利购机者申请补贴。</w:t>
      </w:r>
      <w:r>
        <w:rPr>
          <w:rFonts w:hint="eastAsia" w:ascii="仿宋_GB2312" w:hAnsi="宋体" w:eastAsia="仿宋_GB2312"/>
          <w:color w:val="000000"/>
          <w:sz w:val="32"/>
          <w:szCs w:val="32"/>
        </w:rPr>
        <w:t>2019年起，全面实行农机购置补贴辅助管理系统常年连续开放，系统中上年结转资金和当年投入资金并行使用，并全面推行补贴资金使用情况实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w:t>
      </w:r>
    </w:p>
    <w:p>
      <w:pPr>
        <w:snapToGrid w:val="0"/>
        <w:spacing w:line="334" w:lineRule="auto"/>
        <w:rPr>
          <w:rFonts w:hint="eastAsia" w:ascii="仿宋_GB2312" w:hAnsi="宋体" w:eastAsia="仿宋_GB2312"/>
          <w:color w:val="000000"/>
          <w:sz w:val="32"/>
          <w:szCs w:val="32"/>
        </w:rPr>
      </w:pPr>
      <w:r>
        <w:rPr>
          <w:rFonts w:hint="eastAsia" w:ascii="楷体_GB2312" w:hAnsi="宋体" w:eastAsia="楷体_GB2312"/>
          <w:b/>
          <w:color w:val="000000"/>
          <w:sz w:val="32"/>
          <w:szCs w:val="32"/>
        </w:rPr>
        <w:t xml:space="preserve">    （八）推行补贴申请受理和资金兑付限时办理。</w:t>
      </w:r>
      <w:r>
        <w:rPr>
          <w:rFonts w:hint="eastAsia" w:ascii="仿宋_GB2312" w:hAnsi="宋体" w:eastAsia="仿宋_GB2312"/>
          <w:color w:val="000000"/>
          <w:sz w:val="32"/>
          <w:szCs w:val="32"/>
        </w:rPr>
        <w:t>明确县级及以下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并及时与同级农机化主管部门联合向上报告。</w:t>
      </w:r>
    </w:p>
    <w:p>
      <w:pPr>
        <w:snapToGrid w:val="0"/>
        <w:spacing w:line="334" w:lineRule="auto"/>
        <w:ind w:firstLine="645"/>
        <w:rPr>
          <w:rFonts w:hint="eastAsia" w:ascii="仿宋_GB2312" w:hAnsi="宋体" w:eastAsia="仿宋_GB2312"/>
          <w:color w:val="000000"/>
          <w:sz w:val="32"/>
          <w:szCs w:val="32"/>
        </w:rPr>
      </w:pPr>
    </w:p>
    <w:p>
      <w:pPr>
        <w:snapToGrid w:val="0"/>
        <w:spacing w:line="334" w:lineRule="auto"/>
        <w:ind w:firstLine="645"/>
        <w:rPr>
          <w:rFonts w:hint="eastAsia" w:ascii="仿宋_GB2312" w:hAnsi="宋体" w:eastAsia="仿宋_GB2312"/>
          <w:color w:val="000000"/>
          <w:sz w:val="32"/>
          <w:szCs w:val="32"/>
        </w:rPr>
      </w:pPr>
    </w:p>
    <w:p>
      <w:pPr>
        <w:snapToGrid w:val="0"/>
        <w:spacing w:line="334" w:lineRule="auto"/>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snapToGrid w:val="0"/>
        <w:spacing w:line="334" w:lineRule="auto"/>
        <w:ind w:firstLine="645"/>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农业农村部办公厅 财政部办公厅</w:t>
      </w:r>
    </w:p>
    <w:p>
      <w:pPr>
        <w:snapToGrid w:val="0"/>
        <w:spacing w:line="334" w:lineRule="auto"/>
        <w:ind w:firstLine="480" w:firstLineChars="15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2019年3月</w:t>
      </w:r>
      <w:r>
        <w:rPr>
          <w:rFonts w:hint="eastAsia" w:ascii="仿宋_GB2312" w:hAnsi="宋体" w:eastAsia="仿宋_GB2312"/>
          <w:color w:val="000000"/>
          <w:sz w:val="32"/>
          <w:szCs w:val="32"/>
          <w:lang w:val="en-US" w:eastAsia="zh-CN"/>
        </w:rPr>
        <w:t>28</w:t>
      </w:r>
      <w:bookmarkStart w:id="0" w:name="_GoBack"/>
      <w:bookmarkEnd w:id="0"/>
      <w:r>
        <w:rPr>
          <w:rFonts w:hint="eastAsia" w:ascii="仿宋_GB2312" w:hAnsi="宋体" w:eastAsia="仿宋_GB2312"/>
          <w:color w:val="000000"/>
          <w:sz w:val="32"/>
          <w:szCs w:val="32"/>
        </w:rPr>
        <w:t>日</w:t>
      </w:r>
    </w:p>
    <w:p>
      <w:pPr>
        <w:rPr>
          <w:color w:val="000000"/>
        </w:rPr>
      </w:pPr>
    </w:p>
    <w:sectPr>
      <w:footerReference r:id="rId3" w:type="default"/>
      <w:footerReference r:id="rId4" w:type="even"/>
      <w:pgSz w:w="11906" w:h="16838"/>
      <w:pgMar w:top="1474" w:right="1474" w:bottom="1474"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8FB"/>
    <w:rsid w:val="00073819"/>
    <w:rsid w:val="000C2105"/>
    <w:rsid w:val="00144DA4"/>
    <w:rsid w:val="00173798"/>
    <w:rsid w:val="00234DF1"/>
    <w:rsid w:val="00293ADD"/>
    <w:rsid w:val="002957B0"/>
    <w:rsid w:val="002D719F"/>
    <w:rsid w:val="00306909"/>
    <w:rsid w:val="003F78E7"/>
    <w:rsid w:val="004060D8"/>
    <w:rsid w:val="00485FCB"/>
    <w:rsid w:val="0057537D"/>
    <w:rsid w:val="006667F6"/>
    <w:rsid w:val="00763A19"/>
    <w:rsid w:val="00885603"/>
    <w:rsid w:val="008B2B17"/>
    <w:rsid w:val="008B6FC5"/>
    <w:rsid w:val="009B5531"/>
    <w:rsid w:val="00A811E4"/>
    <w:rsid w:val="00AB187B"/>
    <w:rsid w:val="00B24E5C"/>
    <w:rsid w:val="00B374B6"/>
    <w:rsid w:val="00C30C46"/>
    <w:rsid w:val="00D3175B"/>
    <w:rsid w:val="00D66BFA"/>
    <w:rsid w:val="00D778CC"/>
    <w:rsid w:val="00E7760B"/>
    <w:rsid w:val="00EC1A9E"/>
    <w:rsid w:val="00F347B8"/>
    <w:rsid w:val="00F36F8D"/>
    <w:rsid w:val="00F57507"/>
    <w:rsid w:val="00F80461"/>
    <w:rsid w:val="00FF6CB2"/>
    <w:rsid w:val="0B2A7125"/>
    <w:rsid w:val="511D1A5C"/>
    <w:rsid w:val="63BD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http://www.ntko.com</Company>
  <Pages>5</Pages>
  <Words>389</Words>
  <Characters>2219</Characters>
  <Lines>18</Lines>
  <Paragraphs>5</Paragraphs>
  <TotalTime>3</TotalTime>
  <ScaleCrop>false</ScaleCrop>
  <LinksUpToDate>false</LinksUpToDate>
  <CharactersWithSpaces>2603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2019-03-27T07:33:00Z</dcterms:created>
  <dc:creator>千航网络</dc:creator>
  <cp:lastModifiedBy>湁姩1386743636</cp:lastModifiedBy>
  <cp:lastPrinted>2019-03-26T02:12:00Z</cp:lastPrinted>
  <dcterms:modified xsi:type="dcterms:W3CDTF">2019-04-23T06:22:37Z</dcterms:modified>
  <dc:title>【NTKO Office文档控件缺省模板】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